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关于选送征文参加市2017年“读书与成长”征文评比活动的通知</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各学校（单位）、幼儿园：</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在教师成长和专业发展的过程中，读书是一条有效的途径。</w:t>
      </w:r>
      <w:r>
        <w:rPr>
          <w:rFonts w:hint="eastAsia" w:asciiTheme="minorEastAsia" w:hAnsiTheme="minorEastAsia" w:cstheme="minorEastAsia"/>
          <w:sz w:val="24"/>
          <w:szCs w:val="24"/>
          <w:lang w:eastAsia="zh-CN"/>
        </w:rPr>
        <w:t>教师的阅读与自身发展有着密切的关系，读书被称为教师最好的修行。</w:t>
      </w:r>
      <w:r>
        <w:rPr>
          <w:rFonts w:hint="eastAsia" w:asciiTheme="minorEastAsia" w:hAnsiTheme="minorEastAsia" w:eastAsiaTheme="minorEastAsia" w:cstheme="minorEastAsia"/>
          <w:sz w:val="24"/>
          <w:szCs w:val="24"/>
          <w:lang w:eastAsia="zh-CN"/>
        </w:rPr>
        <w:t>近些年来，广大中小学和幼儿园教师中涌现出许多热爱读书的优秀人物和先进集体。为了交流分享教师读书与成长的经历和经验，探讨教师阅读与专业发展的方法和路径，</w:t>
      </w:r>
      <w:r>
        <w:rPr>
          <w:rFonts w:hint="eastAsia" w:asciiTheme="minorEastAsia" w:hAnsiTheme="minorEastAsia" w:cstheme="minorEastAsia"/>
          <w:sz w:val="24"/>
          <w:szCs w:val="24"/>
          <w:lang w:eastAsia="zh-CN"/>
        </w:rPr>
        <w:t>杭州市教育学会决定开展</w:t>
      </w:r>
      <w:r>
        <w:rPr>
          <w:rFonts w:hint="eastAsia" w:asciiTheme="minorEastAsia" w:hAnsiTheme="minorEastAsia" w:eastAsiaTheme="minorEastAsia" w:cstheme="minorEastAsia"/>
          <w:sz w:val="24"/>
          <w:szCs w:val="24"/>
          <w:lang w:eastAsia="zh-CN"/>
        </w:rPr>
        <w:t>“读书与成长”</w:t>
      </w:r>
      <w:r>
        <w:rPr>
          <w:rFonts w:hint="eastAsia" w:asciiTheme="minorEastAsia" w:hAnsiTheme="minorEastAsia" w:cstheme="minorEastAsia"/>
          <w:sz w:val="24"/>
          <w:szCs w:val="24"/>
          <w:lang w:eastAsia="zh-CN"/>
        </w:rPr>
        <w:t>专题论文评选</w:t>
      </w:r>
      <w:r>
        <w:rPr>
          <w:rFonts w:hint="eastAsia" w:asciiTheme="minorEastAsia" w:hAnsiTheme="minorEastAsia" w:eastAsiaTheme="minorEastAsia" w:cstheme="minorEastAsia"/>
          <w:sz w:val="24"/>
          <w:szCs w:val="24"/>
          <w:lang w:eastAsia="zh-CN"/>
        </w:rPr>
        <w:t>活动，现将有关事项通知如下：</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b/>
          <w:bCs/>
          <w:sz w:val="24"/>
          <w:szCs w:val="24"/>
          <w:lang w:eastAsia="zh-CN"/>
        </w:rPr>
        <w:t>　一、题材内容</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围绕“读书与成长”主题，介绍教师的阅读内容、阅读方法、阅读指导和阅读交流，描述阅读经历中有意义有特点的人和事，反映阅读与工作、学习、研究的关系，体现阅读对自身成长和专业发展的作用和影响。</w:t>
      </w: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　　二、撰写要求</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征文主题中的“读书与成长”，主要指教师的阅读和成长，也包括师生共读和共同成长。从阅读的内容看，可以包括有关教育的内容和非教育类的内容;从阅读的形式看，包括各种书籍、报刊杂志及电子媒介。根据不同的阅读内容和阅读方式，征文题材大致包括以下几类：</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1.读书的经历。描述教师个人或群体的阅读史，反映读书内容的变化及阅读水平、思想水平的提高。</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2.读书与工作、研究的关系。结合读书学习的实例，反映用书中某种理念和方法指导自身教改和研究的经历，以及读写结合、以写带读、以读促写等读书方式。</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3.读书与交流。介绍不同类型读书组织的交流方式和开展经历，如读书小组、读书会、读书沙龙、学习共同体，举办讲座、征文和研讨活动等，以及博客、微信等网络交流、线上线下结合等方式。</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4.关于教师阅读现状的调查和评论。包括量的研究和质的研究等研究方式，在掌握具体材料的基础上，通过数据分析或现象描述，反映教师阅读的现状、经验和问题。</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无论哪种题材类型，都应围绕征文主题，反映教师读书和成长的具体过程和状态，避免单纯的内容介绍和抽象的分析论述。因此，本次征文</w:t>
      </w:r>
      <w:r>
        <w:rPr>
          <w:rFonts w:hint="eastAsia" w:asciiTheme="minorEastAsia" w:hAnsiTheme="minorEastAsia" w:eastAsiaTheme="minorEastAsia" w:cstheme="minorEastAsia"/>
          <w:b/>
          <w:bCs/>
          <w:sz w:val="24"/>
          <w:szCs w:val="24"/>
          <w:lang w:eastAsia="zh-CN"/>
        </w:rPr>
        <w:t>不包括</w:t>
      </w:r>
      <w:r>
        <w:rPr>
          <w:rFonts w:hint="eastAsia" w:asciiTheme="minorEastAsia" w:hAnsiTheme="minorEastAsia" w:eastAsiaTheme="minorEastAsia" w:cstheme="minorEastAsia"/>
          <w:sz w:val="24"/>
          <w:szCs w:val="24"/>
          <w:lang w:eastAsia="zh-CN"/>
        </w:rPr>
        <w:t>书评或读后感一类来稿。</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b/>
          <w:bCs/>
          <w:sz w:val="24"/>
          <w:szCs w:val="24"/>
          <w:lang w:eastAsia="zh-CN"/>
        </w:rPr>
        <w:t>三、注意事项</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1.文体不拘，提倡撰写叙事性的案例，也欢迎调研报告和现状评论等。内容应是真人真事，并根据具体情况和写作形式，体现出各自特点。</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2.文章篇幅一般以4000字左右为宜，未在省市级以上报刊中公开发表。</w:t>
      </w:r>
    </w:p>
    <w:p>
      <w:pPr>
        <w:ind w:firstLine="480"/>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eastAsia="zh-CN"/>
        </w:rPr>
        <w:t>3.应征文章</w:t>
      </w:r>
      <w:r>
        <w:rPr>
          <w:rFonts w:hint="eastAsia" w:asciiTheme="minorEastAsia" w:hAnsiTheme="minorEastAsia" w:cstheme="minorEastAsia"/>
          <w:sz w:val="24"/>
          <w:szCs w:val="24"/>
          <w:lang w:eastAsia="zh-CN"/>
        </w:rPr>
        <w:t>请注明单位、姓名、联系手机、电子信箱、通讯地址和邮编，以便联系。</w:t>
      </w: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四、上交篇数、时间及方式</w:t>
      </w:r>
    </w:p>
    <w:p>
      <w:pPr>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各学校（单位）、幼儿园每校不超过</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篇。请</w:t>
      </w:r>
      <w:r>
        <w:rPr>
          <w:rFonts w:hint="eastAsia" w:asciiTheme="minorEastAsia" w:hAnsiTheme="minorEastAsia" w:cstheme="minorEastAsia"/>
          <w:sz w:val="24"/>
          <w:szCs w:val="24"/>
          <w:lang w:eastAsia="zh-CN"/>
        </w:rPr>
        <w:t>各</w:t>
      </w:r>
      <w:r>
        <w:rPr>
          <w:rFonts w:hint="eastAsia" w:asciiTheme="minorEastAsia" w:hAnsiTheme="minorEastAsia" w:eastAsiaTheme="minorEastAsia" w:cstheme="minorEastAsia"/>
          <w:sz w:val="24"/>
          <w:szCs w:val="24"/>
          <w:lang w:eastAsia="zh-CN"/>
        </w:rPr>
        <w:t>校按照《通知》要求（文本一式</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份，电子稿一份〈含汇总表〉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文件名统一为</w:t>
      </w:r>
      <w:bookmarkStart w:id="0" w:name="_GoBack"/>
      <w:bookmarkEnd w:id="0"/>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姓名+论文题目)于</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月</w:t>
      </w:r>
      <w:r>
        <w:rPr>
          <w:rFonts w:hint="eastAsia" w:asciiTheme="minorEastAsia" w:hAnsi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日（周</w:t>
      </w:r>
      <w:r>
        <w:rPr>
          <w:rFonts w:hint="eastAsia" w:asciiTheme="minorEastAsia" w:hAnsiTheme="minorEastAsia" w:cstheme="minorEastAsia"/>
          <w:sz w:val="24"/>
          <w:szCs w:val="24"/>
          <w:lang w:eastAsia="zh-CN"/>
        </w:rPr>
        <w:t>五</w:t>
      </w:r>
      <w:r>
        <w:rPr>
          <w:rFonts w:hint="eastAsia" w:asciiTheme="minorEastAsia" w:hAnsiTheme="minorEastAsia" w:eastAsiaTheme="minorEastAsia" w:cstheme="minorEastAsia"/>
          <w:sz w:val="24"/>
          <w:szCs w:val="24"/>
          <w:lang w:eastAsia="zh-CN"/>
        </w:rPr>
        <w:t>）前送交区教育学会秘书处（区教研室507室）处，电子稿（含汇总表）通过“余杭教育网协同工作平台——内部交流”发送至区教育学会许永明老师处，联系电话：89361996。逾期不候。</w:t>
      </w:r>
    </w:p>
    <w:p>
      <w:pPr>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本次征文</w:t>
      </w:r>
      <w:r>
        <w:rPr>
          <w:rFonts w:hint="eastAsia" w:asciiTheme="minorEastAsia" w:hAnsiTheme="minorEastAsia" w:cstheme="minorEastAsia"/>
          <w:sz w:val="24"/>
          <w:szCs w:val="24"/>
          <w:lang w:eastAsia="zh-CN"/>
        </w:rPr>
        <w:t>不设区级奖项，将组织专家对所有上交的征文进行评定，择优推荐参加杭州市教育学会的征文评比。</w:t>
      </w:r>
    </w:p>
    <w:p>
      <w:pPr>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p>
    <w:p>
      <w:pPr>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杭州市余杭区教育学会</w:t>
      </w:r>
    </w:p>
    <w:p>
      <w:pPr>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201</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年</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月</w:t>
      </w:r>
      <w:r>
        <w:rPr>
          <w:rFonts w:hint="eastAsia" w:asciiTheme="minorEastAsia" w:hAnsi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日</w:t>
      </w:r>
    </w:p>
    <w:p>
      <w:pPr>
        <w:ind w:firstLine="480"/>
        <w:rPr>
          <w:rFonts w:hint="eastAsia" w:asciiTheme="minorEastAsia" w:hAnsiTheme="minorEastAsia" w:eastAsiaTheme="minorEastAsia" w:cstheme="minorEastAsia"/>
          <w:sz w:val="24"/>
          <w:szCs w:val="24"/>
          <w:lang w:eastAsia="zh-CN"/>
        </w:rPr>
      </w:pPr>
    </w:p>
    <w:p>
      <w:pPr>
        <w:ind w:firstLine="48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cstheme="minorEastAsia"/>
          <w:sz w:val="24"/>
          <w:szCs w:val="24"/>
          <w:lang w:eastAsia="zh-CN"/>
        </w:rPr>
        <w:t>汇总表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475"/>
        <w:gridCol w:w="930"/>
        <w:gridCol w:w="1260"/>
        <w:gridCol w:w="925"/>
        <w:gridCol w:w="128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序号</w:t>
            </w:r>
          </w:p>
        </w:tc>
        <w:tc>
          <w:tcPr>
            <w:tcW w:w="247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题目</w:t>
            </w:r>
          </w:p>
        </w:tc>
        <w:tc>
          <w:tcPr>
            <w:tcW w:w="93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作者</w:t>
            </w:r>
          </w:p>
        </w:tc>
        <w:tc>
          <w:tcPr>
            <w:tcW w:w="126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单位</w:t>
            </w:r>
          </w:p>
        </w:tc>
        <w:tc>
          <w:tcPr>
            <w:tcW w:w="92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邮编</w:t>
            </w:r>
          </w:p>
        </w:tc>
        <w:tc>
          <w:tcPr>
            <w:tcW w:w="12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手机号码</w:t>
            </w:r>
          </w:p>
        </w:tc>
        <w:tc>
          <w:tcPr>
            <w:tcW w:w="1156"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hint="eastAsia" w:asciiTheme="minorEastAsia" w:hAnsiTheme="minorEastAsia" w:eastAsiaTheme="minorEastAsia" w:cstheme="minorEastAsia"/>
                <w:sz w:val="21"/>
                <w:szCs w:val="21"/>
                <w:vertAlign w:val="baseline"/>
                <w:lang w:eastAsia="zh-CN"/>
              </w:rPr>
            </w:pPr>
          </w:p>
        </w:tc>
        <w:tc>
          <w:tcPr>
            <w:tcW w:w="2475" w:type="dxa"/>
            <w:vAlign w:val="center"/>
          </w:tcPr>
          <w:p>
            <w:pPr>
              <w:jc w:val="center"/>
              <w:rPr>
                <w:rFonts w:hint="eastAsia" w:asciiTheme="minorEastAsia" w:hAnsiTheme="minorEastAsia" w:eastAsiaTheme="minorEastAsia" w:cstheme="minorEastAsia"/>
                <w:sz w:val="21"/>
                <w:szCs w:val="21"/>
                <w:vertAlign w:val="baseline"/>
                <w:lang w:eastAsia="zh-CN"/>
              </w:rPr>
            </w:pPr>
          </w:p>
        </w:tc>
        <w:tc>
          <w:tcPr>
            <w:tcW w:w="930" w:type="dxa"/>
            <w:vAlign w:val="center"/>
          </w:tcPr>
          <w:p>
            <w:pPr>
              <w:jc w:val="center"/>
              <w:rPr>
                <w:rFonts w:hint="eastAsia" w:asciiTheme="minorEastAsia" w:hAnsiTheme="minorEastAsia" w:eastAsiaTheme="minorEastAsia" w:cstheme="minorEastAsia"/>
                <w:sz w:val="21"/>
                <w:szCs w:val="21"/>
                <w:vertAlign w:val="baseline"/>
                <w:lang w:eastAsia="zh-CN"/>
              </w:rPr>
            </w:pPr>
          </w:p>
        </w:tc>
        <w:tc>
          <w:tcPr>
            <w:tcW w:w="1260" w:type="dxa"/>
            <w:vAlign w:val="center"/>
          </w:tcPr>
          <w:p>
            <w:pPr>
              <w:jc w:val="center"/>
              <w:rPr>
                <w:rFonts w:hint="eastAsia" w:asciiTheme="minorEastAsia" w:hAnsiTheme="minorEastAsia" w:eastAsiaTheme="minorEastAsia" w:cstheme="minorEastAsia"/>
                <w:sz w:val="21"/>
                <w:szCs w:val="21"/>
                <w:vertAlign w:val="baseline"/>
                <w:lang w:eastAsia="zh-CN"/>
              </w:rPr>
            </w:pPr>
          </w:p>
        </w:tc>
        <w:tc>
          <w:tcPr>
            <w:tcW w:w="925" w:type="dxa"/>
            <w:vAlign w:val="center"/>
          </w:tcPr>
          <w:p>
            <w:pPr>
              <w:jc w:val="center"/>
              <w:rPr>
                <w:rFonts w:hint="eastAsia" w:asciiTheme="minorEastAsia" w:hAnsiTheme="minorEastAsia" w:eastAsiaTheme="minorEastAsia" w:cstheme="minorEastAsia"/>
                <w:sz w:val="21"/>
                <w:szCs w:val="21"/>
                <w:vertAlign w:val="baseline"/>
                <w:lang w:eastAsia="zh-CN"/>
              </w:rPr>
            </w:pPr>
          </w:p>
        </w:tc>
        <w:tc>
          <w:tcPr>
            <w:tcW w:w="1280" w:type="dxa"/>
            <w:vAlign w:val="center"/>
          </w:tcPr>
          <w:p>
            <w:pPr>
              <w:jc w:val="center"/>
              <w:rPr>
                <w:rFonts w:hint="eastAsia" w:asciiTheme="minorEastAsia" w:hAnsiTheme="minorEastAsia" w:eastAsiaTheme="minorEastAsia" w:cstheme="minorEastAsia"/>
                <w:sz w:val="21"/>
                <w:szCs w:val="21"/>
                <w:vertAlign w:val="baseline"/>
                <w:lang w:eastAsia="zh-CN"/>
              </w:rPr>
            </w:pPr>
          </w:p>
        </w:tc>
        <w:tc>
          <w:tcPr>
            <w:tcW w:w="1156" w:type="dxa"/>
            <w:vAlign w:val="center"/>
          </w:tcPr>
          <w:p>
            <w:pPr>
              <w:jc w:val="center"/>
              <w:rPr>
                <w:rFonts w:hint="eastAsia" w:asciiTheme="minorEastAsia" w:hAnsiTheme="minorEastAsia" w:eastAsiaTheme="minorEastAsia" w:cstheme="minorEastAsia"/>
                <w:sz w:val="21"/>
                <w:szCs w:val="21"/>
                <w:vertAlign w:val="baseline"/>
                <w:lang w:eastAsia="zh-CN"/>
              </w:rPr>
            </w:pPr>
          </w:p>
        </w:tc>
      </w:tr>
    </w:tbl>
    <w:p>
      <w:pPr>
        <w:rPr>
          <w:rFonts w:hint="eastAsia" w:asciiTheme="minorEastAsia" w:hAnsiTheme="minorEastAsia" w:eastAsiaTheme="minorEastAsia" w:cstheme="minorEastAsia"/>
          <w:sz w:val="24"/>
          <w:szCs w:val="24"/>
          <w:lang w:eastAsia="zh-CN"/>
        </w:rPr>
      </w:pPr>
    </w:p>
    <w:p>
      <w:pPr>
        <w:ind w:firstLine="480"/>
        <w:rPr>
          <w:rFonts w:hint="eastAsia" w:asciiTheme="minorEastAsia" w:hAnsiTheme="minorEastAsia" w:eastAsiaTheme="minorEastAsia" w:cstheme="minorEastAsia"/>
          <w:sz w:val="24"/>
          <w:szCs w:val="24"/>
          <w:lang w:eastAsia="zh-CN"/>
        </w:rPr>
      </w:pPr>
    </w:p>
    <w:p>
      <w:pPr>
        <w:ind w:firstLine="480"/>
        <w:rPr>
          <w:rFonts w:hint="eastAsia" w:asciiTheme="minorEastAsia" w:hAnsiTheme="minorEastAsia" w:eastAsiaTheme="minorEastAsia" w:cs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庞中华简体 V2007">
    <w:panose1 w:val="02000600000000000000"/>
    <w:charset w:val="86"/>
    <w:family w:val="auto"/>
    <w:pitch w:val="default"/>
    <w:sig w:usb0="FFFFFFFF" w:usb1="E9FFFFFF" w:usb2="0000003F" w:usb3="00000000" w:csb0="603F00FF" w:csb1="FFFF0000"/>
  </w:font>
  <w:font w:name="迷你繁智草">
    <w:panose1 w:val="02010604000101010101"/>
    <w:charset w:val="86"/>
    <w:family w:val="auto"/>
    <w:pitch w:val="default"/>
    <w:sig w:usb0="00000001" w:usb1="080E0800" w:usb2="00000002"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E19AC"/>
    <w:rsid w:val="2AEB6530"/>
    <w:rsid w:val="643E19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665C3"/>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665C3"/>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4">
    <w:name w:val="ds-reads-from"/>
    <w:basedOn w:val="3"/>
    <w:qFormat/>
    <w:uiPriority w:val="0"/>
  </w:style>
  <w:style w:type="character" w:customStyle="1" w:styleId="15">
    <w:name w:val="ds-unread-count"/>
    <w:basedOn w:val="3"/>
    <w:qFormat/>
    <w:uiPriority w:val="0"/>
    <w:rPr>
      <w:b/>
      <w:color w:val="EE3322"/>
    </w:rPr>
  </w:style>
  <w:style w:type="character" w:customStyle="1" w:styleId="16">
    <w:name w:val="ds-reads-app-special"/>
    <w:basedOn w:val="3"/>
    <w:qFormat/>
    <w:uiPriority w:val="0"/>
    <w:rPr>
      <w:color w:val="FFFFFF"/>
      <w:shd w:val="clear" w:fill="F94A4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2017-03-13T06:53:00Z</dcterms:created>
  <dc:creator>Administrator</dc:creator>
  <cp:lastModifiedBy>Administrator</cp:lastModifiedBy>
  <dcterms:modified xsi:type="dcterms:W3CDTF">2017-03-13T07:26:13Z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